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Mania naklejkowa wkroczyła do Polski – samodzielnie stwórz własne niepowtarzalne etui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Włoski producent stylowych akcesoriów do urządzeń przenośnych zaprezentował nową wyjątkową kolekcję etui, za pomocą których w oryginalny sposób wyrazimy własne emocje czy pokażemy w jakim nastroju właśnie jesteśmy 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Pomogą nam w tym pełne barw i pozytywnej energii naklejki, dzięki którym w prosty i ekspresowy sposób spersonalizujemy wygląd naszego smartfona tak, aby wyglądał oryginalnie i niepowtarzalnie.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Same naklejki są wielorazowego użytku, możemy więc tworzyć i miksować dowolne kompozycje – ograniczeniem staje się jedynie nasza wyobraźnia. Spośród sześciu dostępnych zestawów naklejek możemy wybrać się w wędrówkę od mody, przez muzykę, popkulturę, a nawet na chwilę przyjąć barwy wojenne.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natomiast dostępne jest na najpopularniejsze modele telefonów – iPhone, Huawei czy Samsung, doskonale chroni smartfona przed uszkodzeniami czy zadrapaniami i jest przy tym cienkie i delikatne. Producent dorzuca również aplikację </w:t>
      </w:r>
      <w:r>
        <w:rPr>
          <w:rFonts w:ascii="calibri" w:hAnsi="calibri" w:eastAsia="calibri" w:cs="calibri"/>
          <w:sz w:val="24"/>
          <w:szCs w:val="24"/>
          <w:b/>
        </w:rPr>
        <w:t xml:space="preserve">Patch App</w:t>
      </w:r>
      <w:r>
        <w:rPr>
          <w:rFonts w:ascii="calibri" w:hAnsi="calibri" w:eastAsia="calibri" w:cs="calibri"/>
          <w:sz w:val="24"/>
          <w:szCs w:val="24"/>
        </w:rPr>
        <w:t xml:space="preserve">, dzięki której otrzymujesz dostęp do zestawu ikonek, które możesz wykorzystać podczas rozmowy ze znajomymi, wklejając i przekazując więcej niż słowa!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sprzedażowy składa się z etui i pięciu naklejek, pozostałe kolekcje możemy dokupić oddzielnie, aby mieć praktycznie nieograniczone możliwości personalizacji – są to m.in. Fast Food, Glamour, Army, Fantasy, Shabby Chic and Peace &amp; Love.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Nastrój się pozytywnie, wybierz swój styl i stwórz niepowtarzalne etui które będzie tak wyjątkowe jak Ty 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Etui Puro nowej serii Patch Mania można nabyć w dobrych sklepach internetowych i stacjonarnych na terenie całego kraju, dystrybucja w Polsce –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 </w:t>
      </w:r>
      <w:r>
        <w:rPr>
          <w:rFonts w:ascii="calibri" w:hAnsi="calibri" w:eastAsia="calibri" w:cs="calibri"/>
          <w:sz w:val="24"/>
          <w:szCs w:val="24"/>
        </w:rPr>
        <w:t xml:space="preserve">właściciel platformy handlowej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2026-08-12T15:51:51+02:00</dcterms:created>
  <dcterms:modified xsi:type="dcterms:W3CDTF">2026-08-12T15:51:51+02:00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